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5662994"/>
        <w:docPartObj>
          <w:docPartGallery w:val="Cover Pages"/>
          <w:docPartUnique/>
        </w:docPartObj>
      </w:sdtPr>
      <w:sdtEndPr>
        <w:rPr>
          <w:rFonts w:ascii="Trebuchet MS" w:hAnsi="Trebuchet MS"/>
          <w:i/>
          <w:sz w:val="24"/>
          <w:szCs w:val="28"/>
          <w:lang w:val="ro-RO"/>
        </w:rPr>
      </w:sdtEndPr>
      <w:sdtContent>
        <w:p w:rsidR="008D72DA" w:rsidRDefault="008D72DA" w:rsidP="008D72DA"/>
        <w:p w:rsidR="008D72DA" w:rsidRDefault="008D72DA" w:rsidP="008D72DA"/>
        <w:p w:rsidR="008D72DA" w:rsidRPr="008D72DA" w:rsidRDefault="008D72DA" w:rsidP="008D72DA">
          <w:r>
            <w:rPr>
              <w:rFonts w:ascii="Trebuchet MS" w:hAnsi="Trebuchet MS"/>
              <w:b/>
              <w:noProof/>
              <w:color w:val="00B0F0"/>
              <w:sz w:val="44"/>
              <w:szCs w:val="28"/>
              <w:lang w:val="en-GB" w:eastAsia="en-GB"/>
            </w:rPr>
            <w:drawing>
              <wp:inline distT="0" distB="0" distL="0" distR="0" wp14:anchorId="054FB580" wp14:editId="7EE80EAF">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rsidR="00E63B7C" w:rsidRPr="001B2421" w:rsidRDefault="00E63B7C" w:rsidP="005531E6">
      <w:pPr>
        <w:spacing w:after="0" w:line="360" w:lineRule="auto"/>
        <w:jc w:val="right"/>
        <w:rPr>
          <w:rFonts w:ascii="Trebuchet MS" w:hAnsi="Trebuchet MS"/>
          <w:i/>
          <w:sz w:val="24"/>
          <w:szCs w:val="28"/>
          <w:lang w:val="ro-RO"/>
        </w:rPr>
      </w:pPr>
    </w:p>
    <w:p w:rsidR="00024D18" w:rsidRPr="001B2421" w:rsidRDefault="00024D18" w:rsidP="005531E6">
      <w:pPr>
        <w:spacing w:after="0" w:line="360" w:lineRule="auto"/>
        <w:jc w:val="right"/>
        <w:rPr>
          <w:rFonts w:ascii="Trebuchet MS" w:hAnsi="Trebuchet MS"/>
          <w:i/>
          <w:sz w:val="24"/>
          <w:szCs w:val="28"/>
          <w:lang w:val="ro-RO"/>
        </w:rPr>
      </w:pPr>
    </w:p>
    <w:p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rsidR="00756203" w:rsidRPr="001B2421" w:rsidRDefault="00756203" w:rsidP="00A651E9">
      <w:pPr>
        <w:spacing w:after="0" w:line="360" w:lineRule="auto"/>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rsidR="00756203" w:rsidRPr="001B2421" w:rsidRDefault="00756203"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Default="00433E77"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Pr="001B2421" w:rsidRDefault="00A651E9"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39272B" w:rsidRDefault="0039272B"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w:t>
      </w:r>
      <w:proofErr w:type="gramStart"/>
      <w:r w:rsidRPr="00DB4ADC">
        <w:rPr>
          <w:rFonts w:ascii="Trebuchet MS" w:hAnsi="Trebuchet MS"/>
          <w:sz w:val="24"/>
          <w:szCs w:val="24"/>
        </w:rPr>
        <w:t>,  Direc</w:t>
      </w:r>
      <w:proofErr w:type="gramEnd"/>
      <w:r w:rsidRPr="00DB4ADC">
        <w:rPr>
          <w:rFonts w:ascii="Trebuchet MS" w:hAnsi="Trebuchet MS"/>
          <w:sz w:val="24"/>
          <w:szCs w:val="24"/>
        </w:rPr>
        <w:t>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rsidR="00164FCE" w:rsidRPr="00DB4ADC" w:rsidRDefault="00164FCE" w:rsidP="00DB4ADC">
      <w:pPr>
        <w:rPr>
          <w:rFonts w:ascii="Trebuchet MS" w:hAnsi="Trebuchet MS"/>
          <w:sz w:val="24"/>
          <w:szCs w:val="24"/>
        </w:rPr>
      </w:pPr>
    </w:p>
    <w:p w:rsidR="00DB4ADC" w:rsidRPr="00DB4ADC" w:rsidRDefault="00DB4ADC" w:rsidP="00DB4ADC">
      <w:pPr>
        <w:jc w:val="center"/>
        <w:rPr>
          <w:rFonts w:ascii="Trebuchet MS" w:hAnsi="Trebuchet MS"/>
          <w:sz w:val="24"/>
          <w:szCs w:val="24"/>
        </w:rPr>
      </w:pPr>
    </w:p>
    <w:p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w:t>
      </w:r>
      <w:proofErr w:type="gramStart"/>
      <w:r w:rsidRPr="00DB4ADC">
        <w:rPr>
          <w:rFonts w:ascii="Trebuchet MS" w:hAnsi="Trebuchet MS"/>
          <w:sz w:val="24"/>
          <w:szCs w:val="24"/>
        </w:rPr>
        <w:t>,  Direcţia</w:t>
      </w:r>
      <w:proofErr w:type="gramEnd"/>
      <w:r w:rsidRPr="00DB4ADC">
        <w:rPr>
          <w:rFonts w:ascii="Trebuchet MS" w:hAnsi="Trebuchet MS"/>
          <w:sz w:val="24"/>
          <w:szCs w:val="24"/>
        </w:rPr>
        <w:t xml:space="preserve">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w:t>
      </w:r>
      <w:proofErr w:type="gramStart"/>
      <w:r w:rsidRPr="00DB4ADC">
        <w:rPr>
          <w:rFonts w:ascii="Trebuchet MS" w:hAnsi="Trebuchet MS"/>
          <w:sz w:val="24"/>
          <w:szCs w:val="24"/>
        </w:rPr>
        <w:t>,  Direcţia</w:t>
      </w:r>
      <w:proofErr w:type="gramEnd"/>
      <w:r w:rsidRPr="00DB4ADC">
        <w:rPr>
          <w:rFonts w:ascii="Trebuchet MS" w:hAnsi="Trebuchet MS"/>
          <w:sz w:val="24"/>
          <w:szCs w:val="24"/>
        </w:rPr>
        <w:t xml:space="preserve">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rsidR="00DC07AE" w:rsidRDefault="00DC07AE">
          <w:pPr>
            <w:pStyle w:val="TOCHeading"/>
            <w:rPr>
              <w:rFonts w:ascii="Trebuchet MS" w:hAnsi="Trebuchet MS"/>
              <w:b/>
              <w:color w:val="auto"/>
            </w:rPr>
          </w:pPr>
          <w:r w:rsidRPr="008E460E">
            <w:rPr>
              <w:rFonts w:ascii="Trebuchet MS" w:hAnsi="Trebuchet MS"/>
              <w:b/>
              <w:color w:val="auto"/>
            </w:rPr>
            <w:t>Cuprins</w:t>
          </w:r>
        </w:p>
        <w:p w:rsidR="008E460E" w:rsidRPr="008E460E" w:rsidRDefault="008E460E" w:rsidP="008E460E"/>
        <w:p w:rsidR="008E460E" w:rsidRDefault="00DC07AE">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531162379" w:history="1">
            <w:r w:rsidR="008E460E" w:rsidRPr="00DC2B61">
              <w:rPr>
                <w:rStyle w:val="Hyperlink"/>
                <w:rFonts w:eastAsiaTheme="minorHAnsi"/>
              </w:rPr>
              <w:t>Introducere</w:t>
            </w:r>
            <w:r w:rsidR="008E460E">
              <w:rPr>
                <w:webHidden/>
              </w:rPr>
              <w:tab/>
            </w:r>
            <w:r w:rsidR="008E460E">
              <w:rPr>
                <w:webHidden/>
              </w:rPr>
              <w:fldChar w:fldCharType="begin"/>
            </w:r>
            <w:r w:rsidR="008E460E">
              <w:rPr>
                <w:webHidden/>
              </w:rPr>
              <w:instrText xml:space="preserve"> PAGEREF _Toc531162379 \h </w:instrText>
            </w:r>
            <w:r w:rsidR="008E460E">
              <w:rPr>
                <w:webHidden/>
              </w:rPr>
            </w:r>
            <w:r w:rsidR="008E460E">
              <w:rPr>
                <w:webHidden/>
              </w:rPr>
              <w:fldChar w:fldCharType="separate"/>
            </w:r>
            <w:r w:rsidR="0018608B">
              <w:rPr>
                <w:webHidden/>
              </w:rPr>
              <w:t>5</w:t>
            </w:r>
            <w:r w:rsidR="008E460E">
              <w:rPr>
                <w:webHidden/>
              </w:rPr>
              <w:fldChar w:fldCharType="end"/>
            </w:r>
          </w:hyperlink>
        </w:p>
        <w:p w:rsidR="008E460E" w:rsidRDefault="00932695">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_Toc531162380 \h </w:instrText>
            </w:r>
            <w:r w:rsidR="008E460E">
              <w:rPr>
                <w:webHidden/>
              </w:rPr>
            </w:r>
            <w:r w:rsidR="008E460E">
              <w:rPr>
                <w:webHidden/>
              </w:rPr>
              <w:fldChar w:fldCharType="separate"/>
            </w:r>
            <w:r w:rsidR="0018608B">
              <w:rPr>
                <w:webHidden/>
              </w:rPr>
              <w:t>6</w:t>
            </w:r>
            <w:r w:rsidR="008E460E">
              <w:rPr>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sidR="008E460E">
              <w:rPr>
                <w:noProof/>
                <w:webHidden/>
              </w:rPr>
              <w:fldChar w:fldCharType="begin"/>
            </w:r>
            <w:r w:rsidR="008E460E">
              <w:rPr>
                <w:noProof/>
                <w:webHidden/>
              </w:rPr>
              <w:instrText xml:space="preserve"> PAGEREF _Toc531162381 \h </w:instrText>
            </w:r>
            <w:r w:rsidR="008E460E">
              <w:rPr>
                <w:noProof/>
                <w:webHidden/>
              </w:rPr>
            </w:r>
            <w:r w:rsidR="008E460E">
              <w:rPr>
                <w:noProof/>
                <w:webHidden/>
              </w:rPr>
              <w:fldChar w:fldCharType="separate"/>
            </w:r>
            <w:r w:rsidR="0018608B">
              <w:rPr>
                <w:noProof/>
                <w:webHidden/>
              </w:rPr>
              <w:t>6</w:t>
            </w:r>
            <w:r w:rsidR="008E460E">
              <w:rPr>
                <w:noProof/>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_Toc531162382 \h </w:instrText>
            </w:r>
            <w:r w:rsidR="008E460E">
              <w:rPr>
                <w:noProof/>
                <w:webHidden/>
              </w:rPr>
            </w:r>
            <w:r w:rsidR="008E460E">
              <w:rPr>
                <w:noProof/>
                <w:webHidden/>
              </w:rPr>
              <w:fldChar w:fldCharType="separate"/>
            </w:r>
            <w:r w:rsidR="0018608B">
              <w:rPr>
                <w:noProof/>
                <w:webHidden/>
              </w:rPr>
              <w:t>8</w:t>
            </w:r>
            <w:r w:rsidR="008E460E">
              <w:rPr>
                <w:noProof/>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_Toc531162383 \h </w:instrText>
            </w:r>
            <w:r w:rsidR="008E460E">
              <w:rPr>
                <w:noProof/>
                <w:webHidden/>
              </w:rPr>
            </w:r>
            <w:r w:rsidR="008E460E">
              <w:rPr>
                <w:noProof/>
                <w:webHidden/>
              </w:rPr>
              <w:fldChar w:fldCharType="separate"/>
            </w:r>
            <w:r w:rsidR="0018608B">
              <w:rPr>
                <w:noProof/>
                <w:webHidden/>
              </w:rPr>
              <w:t>11</w:t>
            </w:r>
            <w:r w:rsidR="008E460E">
              <w:rPr>
                <w:noProof/>
                <w:webHidden/>
              </w:rPr>
              <w:fldChar w:fldCharType="end"/>
            </w:r>
          </w:hyperlink>
        </w:p>
        <w:p w:rsidR="008E460E" w:rsidRDefault="00932695">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_Toc531162384 \h </w:instrText>
            </w:r>
            <w:r w:rsidR="008E460E">
              <w:rPr>
                <w:webHidden/>
              </w:rPr>
            </w:r>
            <w:r w:rsidR="008E460E">
              <w:rPr>
                <w:webHidden/>
              </w:rPr>
              <w:fldChar w:fldCharType="separate"/>
            </w:r>
            <w:r w:rsidR="0018608B">
              <w:rPr>
                <w:webHidden/>
              </w:rPr>
              <w:t>14</w:t>
            </w:r>
            <w:r w:rsidR="008E460E">
              <w:rPr>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sidR="008E460E">
              <w:rPr>
                <w:noProof/>
                <w:webHidden/>
              </w:rPr>
              <w:fldChar w:fldCharType="begin"/>
            </w:r>
            <w:r w:rsidR="008E460E">
              <w:rPr>
                <w:noProof/>
                <w:webHidden/>
              </w:rPr>
              <w:instrText xml:space="preserve"> PAGEREF _Toc531162385 \h </w:instrText>
            </w:r>
            <w:r w:rsidR="008E460E">
              <w:rPr>
                <w:noProof/>
                <w:webHidden/>
              </w:rPr>
            </w:r>
            <w:r w:rsidR="008E460E">
              <w:rPr>
                <w:noProof/>
                <w:webHidden/>
              </w:rPr>
              <w:fldChar w:fldCharType="separate"/>
            </w:r>
            <w:r w:rsidR="0018608B">
              <w:rPr>
                <w:noProof/>
                <w:webHidden/>
              </w:rPr>
              <w:t>14</w:t>
            </w:r>
            <w:r w:rsidR="008E460E">
              <w:rPr>
                <w:noProof/>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sidR="008E460E">
              <w:rPr>
                <w:noProof/>
                <w:webHidden/>
              </w:rPr>
              <w:fldChar w:fldCharType="begin"/>
            </w:r>
            <w:r w:rsidR="008E460E">
              <w:rPr>
                <w:noProof/>
                <w:webHidden/>
              </w:rPr>
              <w:instrText xml:space="preserve"> PAGEREF _Toc531162386 \h </w:instrText>
            </w:r>
            <w:r w:rsidR="008E460E">
              <w:rPr>
                <w:noProof/>
                <w:webHidden/>
              </w:rPr>
            </w:r>
            <w:r w:rsidR="008E460E">
              <w:rPr>
                <w:noProof/>
                <w:webHidden/>
              </w:rPr>
              <w:fldChar w:fldCharType="separate"/>
            </w:r>
            <w:r w:rsidR="0018608B">
              <w:rPr>
                <w:noProof/>
                <w:webHidden/>
              </w:rPr>
              <w:t>18</w:t>
            </w:r>
            <w:r w:rsidR="008E460E">
              <w:rPr>
                <w:noProof/>
                <w:webHidden/>
              </w:rPr>
              <w:fldChar w:fldCharType="end"/>
            </w:r>
          </w:hyperlink>
        </w:p>
        <w:p w:rsidR="008E460E" w:rsidRDefault="00932695">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sidR="008E460E">
              <w:rPr>
                <w:noProof/>
                <w:webHidden/>
              </w:rPr>
              <w:fldChar w:fldCharType="begin"/>
            </w:r>
            <w:r w:rsidR="008E460E">
              <w:rPr>
                <w:noProof/>
                <w:webHidden/>
              </w:rPr>
              <w:instrText xml:space="preserve"> PAGEREF _Toc531162387 \h </w:instrText>
            </w:r>
            <w:r w:rsidR="008E460E">
              <w:rPr>
                <w:noProof/>
                <w:webHidden/>
              </w:rPr>
            </w:r>
            <w:r w:rsidR="008E460E">
              <w:rPr>
                <w:noProof/>
                <w:webHidden/>
              </w:rPr>
              <w:fldChar w:fldCharType="separate"/>
            </w:r>
            <w:r w:rsidR="0018608B">
              <w:rPr>
                <w:noProof/>
                <w:webHidden/>
              </w:rPr>
              <w:t>31</w:t>
            </w:r>
            <w:r w:rsidR="008E460E">
              <w:rPr>
                <w:noProof/>
                <w:webHidden/>
              </w:rPr>
              <w:fldChar w:fldCharType="end"/>
            </w:r>
          </w:hyperlink>
        </w:p>
        <w:p w:rsidR="008E460E" w:rsidRDefault="00932695">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sidR="008E460E">
              <w:rPr>
                <w:webHidden/>
              </w:rPr>
              <w:fldChar w:fldCharType="begin"/>
            </w:r>
            <w:r w:rsidR="008E460E">
              <w:rPr>
                <w:webHidden/>
              </w:rPr>
              <w:instrText xml:space="preserve"> PAGEREF _Toc531162388 \h </w:instrText>
            </w:r>
            <w:r w:rsidR="008E460E">
              <w:rPr>
                <w:webHidden/>
              </w:rPr>
            </w:r>
            <w:r w:rsidR="008E460E">
              <w:rPr>
                <w:webHidden/>
              </w:rPr>
              <w:fldChar w:fldCharType="separate"/>
            </w:r>
            <w:r w:rsidR="0018608B">
              <w:rPr>
                <w:webHidden/>
              </w:rPr>
              <w:t>42</w:t>
            </w:r>
            <w:r w:rsidR="008E460E">
              <w:rPr>
                <w:webHidden/>
              </w:rPr>
              <w:fldChar w:fldCharType="end"/>
            </w:r>
          </w:hyperlink>
        </w:p>
        <w:p w:rsidR="00DC07AE" w:rsidRDefault="00DC07AE">
          <w:r>
            <w:rPr>
              <w:b/>
              <w:bCs/>
              <w:noProof/>
            </w:rPr>
            <w:fldChar w:fldCharType="end"/>
          </w:r>
        </w:p>
      </w:sdtContent>
    </w:sdt>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7292" w:rsidRDefault="00DC7292">
      <w:pPr>
        <w:spacing w:after="160" w:line="259" w:lineRule="auto"/>
        <w:rPr>
          <w:rFonts w:ascii="Trebuchet MS" w:eastAsiaTheme="minorHAnsi" w:hAnsi="Trebuchet MS" w:cstheme="majorBidi"/>
          <w:b/>
          <w:sz w:val="28"/>
          <w:szCs w:val="32"/>
          <w:lang w:val="ro-RO"/>
        </w:rPr>
      </w:pPr>
      <w:bookmarkStart w:id="1" w:name="_Toc531162379"/>
      <w:r>
        <w:rPr>
          <w:rFonts w:ascii="Trebuchet MS" w:eastAsiaTheme="minorHAnsi" w:hAnsi="Trebuchet MS"/>
          <w:b/>
          <w:sz w:val="28"/>
          <w:lang w:val="ro-RO"/>
        </w:rPr>
        <w:br w:type="page"/>
      </w:r>
    </w:p>
    <w:p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1"/>
    </w:p>
    <w:p w:rsidR="00DC7292" w:rsidRPr="00DC7292" w:rsidRDefault="00DC7292" w:rsidP="00DC7292">
      <w:pPr>
        <w:rPr>
          <w:lang w:val="ro-RO"/>
        </w:rPr>
      </w:pPr>
    </w:p>
    <w:p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rsidR="00EF1BB6" w:rsidRDefault="00375BB7" w:rsidP="006D5C19">
      <w:pPr>
        <w:pStyle w:val="Heading1"/>
        <w:jc w:val="center"/>
        <w:rPr>
          <w:rFonts w:ascii="Trebuchet MS" w:eastAsiaTheme="minorHAnsi" w:hAnsi="Trebuchet MS"/>
          <w:b/>
          <w:color w:val="auto"/>
          <w:sz w:val="28"/>
          <w:lang w:val="ro-RO"/>
        </w:rPr>
      </w:pPr>
      <w:bookmarkStart w:id="2"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2"/>
    </w:p>
    <w:p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rsidR="003A24A9" w:rsidRPr="00DC07AE" w:rsidRDefault="00375BB7" w:rsidP="00AD13B9">
      <w:pPr>
        <w:pStyle w:val="Heading2"/>
        <w:jc w:val="both"/>
        <w:rPr>
          <w:rFonts w:ascii="Trebuchet MS" w:eastAsiaTheme="minorHAnsi" w:hAnsi="Trebuchet MS"/>
          <w:b/>
          <w:color w:val="auto"/>
          <w:sz w:val="28"/>
          <w:lang w:val="ro-RO"/>
        </w:rPr>
      </w:pPr>
      <w:bookmarkStart w:id="3"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3"/>
    </w:p>
    <w:p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lastRenderedPageBreak/>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lastRenderedPageBreak/>
        <w:t xml:space="preserve">colaborarea deficitară între personalul desemnat cu atribuții în domeniul transparenței instituționale și celelalte departamente de specialitate care trebuie să îi furnizeze informații; </w:t>
      </w:r>
    </w:p>
    <w:p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005286" w:rsidRPr="00DC07AE" w:rsidRDefault="00005286" w:rsidP="00AD13B9">
      <w:pPr>
        <w:pStyle w:val="Heading2"/>
        <w:jc w:val="both"/>
        <w:rPr>
          <w:rFonts w:ascii="Trebuchet MS" w:eastAsiaTheme="minorHAnsi" w:hAnsi="Trebuchet MS"/>
          <w:b/>
          <w:color w:val="auto"/>
          <w:sz w:val="28"/>
          <w:lang w:val="ro-RO"/>
        </w:rPr>
      </w:pPr>
      <w:bookmarkStart w:id="4"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4"/>
    </w:p>
    <w:p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xml:space="preserve">, dar și disponibilitatea și capacitatea </w:t>
      </w:r>
      <w:r w:rsidR="0030540F" w:rsidRPr="001B2421">
        <w:rPr>
          <w:rFonts w:ascii="Trebuchet MS" w:eastAsiaTheme="minorHAnsi" w:hAnsi="Trebuchet MS" w:cs="TrebuchetMS"/>
          <w:sz w:val="24"/>
          <w:szCs w:val="24"/>
          <w:lang w:val="ro-RO"/>
        </w:rPr>
        <w:lastRenderedPageBreak/>
        <w:t>resurselor umane necesare realizării în bune condiții a cerințelor de implementare a măsurilor privind accesul cetățenilor la informațiile de interes public și transparenței decizionale.</w:t>
      </w:r>
    </w:p>
    <w:p w:rsidR="00B072B2" w:rsidRDefault="00F75E20"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F75E20">
        <w:rPr>
          <w:rFonts w:ascii="Trebuchet MS" w:eastAsiaTheme="minorHAnsi" w:hAnsi="Trebuchet MS" w:cs="TrebuchetMS"/>
          <w:noProof/>
          <w:sz w:val="24"/>
          <w:szCs w:val="24"/>
          <w:lang w:val="en-GB" w:eastAsia="en-GB"/>
        </w:rPr>
        <mc:AlternateContent>
          <mc:Choice Requires="wps">
            <w:drawing>
              <wp:anchor distT="91440" distB="91440" distL="114300" distR="114300" simplePos="0" relativeHeight="251905024" behindDoc="0" locked="0" layoutInCell="1" allowOverlap="1" wp14:anchorId="54F6D65C" wp14:editId="59FC83AF">
                <wp:simplePos x="0" y="0"/>
                <wp:positionH relativeFrom="page">
                  <wp:posOffset>823595</wp:posOffset>
                </wp:positionH>
                <wp:positionV relativeFrom="paragraph">
                  <wp:posOffset>2101215</wp:posOffset>
                </wp:positionV>
                <wp:extent cx="5979795" cy="1819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819275"/>
                        </a:xfrm>
                        <a:prstGeom prst="rect">
                          <a:avLst/>
                        </a:prstGeom>
                        <a:noFill/>
                        <a:ln w="9525">
                          <a:noFill/>
                          <a:miter lim="800000"/>
                          <a:headEnd/>
                          <a:tailEnd/>
                        </a:ln>
                      </wps:spPr>
                      <wps:txb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4F6D65C"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mc:Fallback>
        </mc:AlternateConten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rsidR="00554C23" w:rsidRDefault="007F1890"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7F1890">
        <w:rPr>
          <w:rFonts w:ascii="Trebuchet MS" w:eastAsiaTheme="minorHAnsi" w:hAnsi="Trebuchet MS" w:cs="TrebuchetMS"/>
          <w:noProof/>
          <w:sz w:val="24"/>
          <w:szCs w:val="24"/>
          <w:lang w:val="en-GB" w:eastAsia="en-GB"/>
        </w:rPr>
        <w:lastRenderedPageBreak/>
        <mc:AlternateContent>
          <mc:Choice Requires="wps">
            <w:drawing>
              <wp:anchor distT="91440" distB="91440" distL="114300" distR="114300" simplePos="0" relativeHeight="251907072" behindDoc="0" locked="0" layoutInCell="1" allowOverlap="1" wp14:anchorId="00434A1F" wp14:editId="04F3344C">
                <wp:simplePos x="0" y="0"/>
                <wp:positionH relativeFrom="page">
                  <wp:posOffset>914400</wp:posOffset>
                </wp:positionH>
                <wp:positionV relativeFrom="paragraph">
                  <wp:posOffset>272415</wp:posOffset>
                </wp:positionV>
                <wp:extent cx="5890895" cy="2159000"/>
                <wp:effectExtent l="0" t="0" r="0" b="0"/>
                <wp:wrapTopAndBottom/>
                <wp:docPr id="24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159000"/>
                        </a:xfrm>
                        <a:prstGeom prst="rect">
                          <a:avLst/>
                        </a:prstGeom>
                        <a:noFill/>
                        <a:ln w="9525">
                          <a:noFill/>
                          <a:miter lim="800000"/>
                          <a:headEnd/>
                          <a:tailEnd/>
                        </a:ln>
                      </wps:spPr>
                      <wps:txb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434A1F" id="_x0000_s1027" type="#_x0000_t202" style="position:absolute;left:0;text-align:left;margin-left:1in;margin-top:21.45pt;width:463.85pt;height:170pt;z-index:251907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mc:Fallback>
        </mc:AlternateContent>
      </w:r>
    </w:p>
    <w:p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CA4AA8" w:rsidRDefault="007F1890" w:rsidP="00133531">
      <w:pPr>
        <w:spacing w:after="0" w:line="360" w:lineRule="auto"/>
        <w:jc w:val="both"/>
        <w:rPr>
          <w:rFonts w:ascii="Trebuchet MS" w:eastAsiaTheme="minorHAnsi" w:hAnsi="Trebuchet MS" w:cs="TrebuchetMS"/>
          <w:sz w:val="24"/>
          <w:szCs w:val="24"/>
          <w:lang w:val="ro-RO"/>
        </w:rPr>
      </w:pPr>
      <w:r w:rsidRPr="007F1890">
        <w:rPr>
          <w:noProof/>
          <w:lang w:val="en-GB" w:eastAsia="en-GB"/>
        </w:rPr>
        <mc:AlternateContent>
          <mc:Choice Requires="wps">
            <w:drawing>
              <wp:anchor distT="91440" distB="91440" distL="114300" distR="114300" simplePos="0" relativeHeight="251909120" behindDoc="0" locked="0" layoutInCell="1" allowOverlap="1" wp14:anchorId="1CA05F81" wp14:editId="1A2EB052">
                <wp:simplePos x="0" y="0"/>
                <wp:positionH relativeFrom="page">
                  <wp:posOffset>825500</wp:posOffset>
                </wp:positionH>
                <wp:positionV relativeFrom="paragraph">
                  <wp:posOffset>1609090</wp:posOffset>
                </wp:positionV>
                <wp:extent cx="5979795" cy="1752600"/>
                <wp:effectExtent l="0" t="0" r="0" b="0"/>
                <wp:wrapTopAndBottom/>
                <wp:docPr id="2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752600"/>
                        </a:xfrm>
                        <a:prstGeom prst="rect">
                          <a:avLst/>
                        </a:prstGeom>
                        <a:noFill/>
                        <a:ln w="9525">
                          <a:noFill/>
                          <a:miter lim="800000"/>
                          <a:headEnd/>
                          <a:tailEnd/>
                        </a:ln>
                      </wps:spPr>
                      <wps:txbx>
                        <w:txbxContent>
                          <w:p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A05F81" id="_x0000_s1028" type="#_x0000_t202" style="position:absolute;left:0;text-align:left;margin-left:65pt;margin-top:126.7pt;width:470.85pt;height:138pt;z-index:251909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mc:Fallback>
        </mc:AlternateConten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 xml:space="preserve">aspect esențial pentru </w:t>
      </w:r>
      <w:r w:rsidR="00CA4AA8" w:rsidRPr="001B2421">
        <w:rPr>
          <w:rFonts w:ascii="Trebuchet MS" w:eastAsiaTheme="minorHAnsi" w:hAnsi="Trebuchet MS" w:cs="TrebuchetMS"/>
          <w:sz w:val="24"/>
          <w:szCs w:val="24"/>
          <w:lang w:val="ro-RO"/>
        </w:rPr>
        <w:lastRenderedPageBreak/>
        <w:t>obiectivul general urmărit.</w:t>
      </w:r>
    </w:p>
    <w:p w:rsidR="005F22E9" w:rsidRDefault="005F22E9" w:rsidP="00AD13B9">
      <w:pPr>
        <w:pStyle w:val="Heading2"/>
        <w:jc w:val="both"/>
        <w:rPr>
          <w:rFonts w:ascii="Trebuchet MS" w:eastAsiaTheme="minorHAnsi" w:hAnsi="Trebuchet MS"/>
          <w:b/>
          <w:color w:val="auto"/>
          <w:sz w:val="28"/>
          <w:lang w:val="ro-RO"/>
        </w:rPr>
      </w:pPr>
      <w:bookmarkStart w:id="5" w:name="_Toc531162383"/>
      <w:r w:rsidRPr="00DC07AE">
        <w:rPr>
          <w:rFonts w:ascii="Trebuchet MS" w:eastAsiaTheme="minorHAnsi" w:hAnsi="Trebuchet MS"/>
          <w:b/>
          <w:color w:val="auto"/>
          <w:sz w:val="28"/>
          <w:lang w:val="ro-RO"/>
        </w:rPr>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5"/>
    </w:p>
    <w:p w:rsidR="006875DC" w:rsidRPr="006875DC" w:rsidRDefault="006875DC" w:rsidP="006875DC">
      <w:pPr>
        <w:rPr>
          <w:lang w:val="ro-RO"/>
        </w:rPr>
      </w:pPr>
    </w:p>
    <w:p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49728" behindDoc="0" locked="0" layoutInCell="1" allowOverlap="1" wp14:anchorId="0BD2AF94" wp14:editId="3F2347C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lastRenderedPageBreak/>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47680" behindDoc="0" locked="0" layoutInCell="1" allowOverlap="1" wp14:anchorId="524BA7E1" wp14:editId="745A97E2">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51776" behindDoc="0" locked="0" layoutInCell="1" allowOverlap="1" wp14:anchorId="33AE98E0" wp14:editId="4C2B9AD2">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682816" behindDoc="0" locked="0" layoutInCell="1" allowOverlap="1" wp14:anchorId="0F9372B9" wp14:editId="091310C4">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w:t>
      </w:r>
      <w:r w:rsidR="00763C3B" w:rsidRPr="00595989">
        <w:rPr>
          <w:rFonts w:ascii="Trebuchet MS" w:eastAsiaTheme="minorHAnsi" w:hAnsi="Trebuchet MS" w:cs="TrebuchetMS"/>
          <w:sz w:val="24"/>
          <w:szCs w:val="24"/>
        </w:rPr>
        <w:lastRenderedPageBreak/>
        <w:t xml:space="preserve">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53824" behindDoc="0" locked="0" layoutInCell="1" allowOverlap="1" wp14:anchorId="7AE7F3C0" wp14:editId="4E309A6F">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rsidR="008B1939" w:rsidRDefault="00375BB7" w:rsidP="006D5C19">
      <w:pPr>
        <w:pStyle w:val="Heading1"/>
        <w:jc w:val="center"/>
        <w:rPr>
          <w:rFonts w:ascii="Trebuchet MS" w:eastAsiaTheme="minorHAnsi" w:hAnsi="Trebuchet MS"/>
          <w:b/>
          <w:color w:val="auto"/>
          <w:sz w:val="28"/>
          <w:lang w:val="ro-RO"/>
        </w:rPr>
      </w:pPr>
      <w:bookmarkStart w:id="6"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6"/>
    </w:p>
    <w:p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762B6E" w:rsidRPr="00DC07AE" w:rsidRDefault="009731ED" w:rsidP="00DC07AE">
      <w:pPr>
        <w:pStyle w:val="Heading2"/>
        <w:rPr>
          <w:rFonts w:ascii="Trebuchet MS" w:eastAsiaTheme="minorHAnsi" w:hAnsi="Trebuchet MS"/>
          <w:b/>
          <w:color w:val="auto"/>
          <w:sz w:val="28"/>
          <w:lang w:val="ro-RO"/>
        </w:rPr>
      </w:pPr>
      <w:bookmarkStart w:id="7"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7"/>
    </w:p>
    <w:p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rsidR="000678C7" w:rsidRDefault="000678C7" w:rsidP="00F06DA9">
      <w:pPr>
        <w:autoSpaceDE w:val="0"/>
        <w:autoSpaceDN w:val="0"/>
        <w:adjustRightInd w:val="0"/>
        <w:spacing w:after="0" w:line="360" w:lineRule="auto"/>
        <w:jc w:val="both"/>
        <w:rPr>
          <w:rFonts w:ascii="Trebuchet MS" w:hAnsi="Trebuchet MS"/>
          <w:sz w:val="24"/>
          <w:szCs w:val="24"/>
          <w:lang w:val="ro-RO"/>
        </w:rPr>
      </w:pPr>
    </w:p>
    <w:p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55872" behindDoc="0" locked="0" layoutInCell="1" allowOverlap="1" wp14:anchorId="7D9AD7FD" wp14:editId="507085D7">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w:t>
      </w:r>
      <w:r w:rsidR="00516F77" w:rsidRPr="001B2421">
        <w:rPr>
          <w:rFonts w:ascii="Trebuchet MS" w:eastAsiaTheme="minorHAnsi" w:hAnsi="Trebuchet MS" w:cs="Verdana"/>
          <w:sz w:val="24"/>
          <w:szCs w:val="24"/>
        </w:rPr>
        <w:lastRenderedPageBreak/>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lang w:val="en-GB" w:eastAsia="en-GB"/>
        </w:rPr>
        <w:lastRenderedPageBreak/>
        <w:drawing>
          <wp:anchor distT="0" distB="0" distL="114300" distR="114300" simplePos="0" relativeHeight="251857920" behindDoc="0" locked="0" layoutInCell="1" allowOverlap="1" wp14:anchorId="6840C17A" wp14:editId="174B5138">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rsidR="00E823CE" w:rsidRPr="001B2421" w:rsidRDefault="00E823CE" w:rsidP="00E823CE">
      <w:pPr>
        <w:pStyle w:val="ListParagraph"/>
        <w:rPr>
          <w:rFonts w:ascii="Trebuchet MS" w:eastAsiaTheme="minorHAnsi" w:hAnsi="Trebuchet MS" w:cs="Verdana"/>
          <w:b/>
          <w:bCs/>
          <w:sz w:val="24"/>
          <w:szCs w:val="24"/>
        </w:rPr>
      </w:pPr>
    </w:p>
    <w:p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lastRenderedPageBreak/>
        <w:t>C</w:t>
      </w:r>
      <w:r w:rsidRPr="001B2421">
        <w:rPr>
          <w:rFonts w:ascii="Trebuchet MS" w:eastAsiaTheme="minorHAnsi" w:hAnsi="Trebuchet MS" w:cs="Verdana"/>
          <w:b/>
          <w:bCs/>
          <w:sz w:val="24"/>
          <w:szCs w:val="24"/>
          <w:lang w:val="ro-RO"/>
        </w:rPr>
        <w:t>E PRESUPUNE CADRUL LEGAL ÎN VIGOARE?</w:t>
      </w:r>
    </w:p>
    <w:p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lastRenderedPageBreak/>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59968" behindDoc="0" locked="0" layoutInCell="1" allowOverlap="1" wp14:anchorId="46693CAC" wp14:editId="5DA02BC2">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rsidR="00A030FB" w:rsidRDefault="00A030FB" w:rsidP="00062975">
      <w:pPr>
        <w:pStyle w:val="Heading2"/>
        <w:jc w:val="both"/>
        <w:rPr>
          <w:rFonts w:ascii="Trebuchet MS" w:eastAsiaTheme="minorHAnsi" w:hAnsi="Trebuchet MS"/>
          <w:b/>
          <w:color w:val="auto"/>
          <w:sz w:val="28"/>
          <w:lang w:val="ro-RO"/>
        </w:rPr>
      </w:pPr>
      <w:bookmarkStart w:id="8" w:name="_Toc531162386"/>
    </w:p>
    <w:p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8"/>
    </w:p>
    <w:p w:rsidR="00251116" w:rsidRPr="00251116" w:rsidRDefault="00251116" w:rsidP="00251116">
      <w:pPr>
        <w:rPr>
          <w:lang w:val="ro-RO"/>
        </w:rPr>
      </w:pPr>
    </w:p>
    <w:p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62016" behindDoc="0" locked="0" layoutInCell="1" allowOverlap="1" wp14:anchorId="70BC1283" wp14:editId="72601DF6">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proofErr w:type="gramStart"/>
      <w:r w:rsidRPr="0086540B">
        <w:rPr>
          <w:rFonts w:ascii="Trebuchet MS" w:eastAsiaTheme="minorHAnsi" w:hAnsi="Trebuchet MS" w:cs="TrebuchetMS-Bold"/>
          <w:bCs/>
          <w:sz w:val="24"/>
          <w:szCs w:val="28"/>
        </w:rPr>
        <w:t>Un</w:t>
      </w:r>
      <w:proofErr w:type="gramEnd"/>
      <w:r w:rsidRPr="0086540B">
        <w:rPr>
          <w:rFonts w:ascii="Trebuchet MS" w:eastAsiaTheme="minorHAnsi" w:hAnsi="Trebuchet MS" w:cs="TrebuchetMS-Bold"/>
          <w:bCs/>
          <w:sz w:val="24"/>
          <w:szCs w:val="28"/>
        </w:rPr>
        <w:t xml:space="preserve"> aspect esențial d</w:t>
      </w:r>
      <w:r w:rsidR="004E2D5B">
        <w:rPr>
          <w:rFonts w:ascii="Trebuchet MS" w:eastAsiaTheme="minorHAnsi" w:hAnsi="Trebuchet MS" w:cs="TrebuchetMS-Bold"/>
          <w:bCs/>
          <w:sz w:val="24"/>
          <w:szCs w:val="28"/>
        </w:rPr>
        <w:t>e menționat este că mecanismul</w:t>
      </w:r>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la cerere</w:t>
      </w:r>
      <w:r w:rsidRPr="0086540B">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lastRenderedPageBreak/>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64064" behindDoc="0" locked="0" layoutInCell="1" allowOverlap="1" wp14:anchorId="214BA698" wp14:editId="09376C8A">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66112" behindDoc="0" locked="0" layoutInCell="1" allowOverlap="1" wp14:anchorId="7E8E96E9" wp14:editId="44CEF695">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68160" behindDoc="0" locked="0" layoutInCell="1" allowOverlap="1" wp14:anchorId="58DAD5F1" wp14:editId="5E4E76A9">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w:t>
      </w:r>
      <w:r w:rsidR="00085C05" w:rsidRPr="00E92329">
        <w:rPr>
          <w:rStyle w:val="adinaChar"/>
        </w:rPr>
        <w:lastRenderedPageBreak/>
        <w:t>publicarea a cât mai multor seturi de date, fapt ce va conduce la scăderea numărului de solicitări de informați venite din partea cetățenilor</w:t>
      </w:r>
      <w:r w:rsidR="00E92329">
        <w:rPr>
          <w:rStyle w:val="adinaChar"/>
        </w:rPr>
        <w:t>.</w:t>
      </w:r>
    </w:p>
    <w:p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70208" behindDoc="0" locked="0" layoutInCell="1" allowOverlap="1" wp14:anchorId="1BA2393E" wp14:editId="07FB05AA">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72256" behindDoc="0" locked="0" layoutInCell="1" allowOverlap="1" wp14:anchorId="2C03BBC0" wp14:editId="512184BF">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pe pagina de internet a instituției,</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84544" behindDoc="0" locked="0" layoutInCell="1" allowOverlap="1" wp14:anchorId="46E60B00" wp14:editId="0240CD3B">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rsidR="003435F0" w:rsidRPr="003435F0" w:rsidRDefault="003435F0" w:rsidP="003435F0">
      <w:pPr>
        <w:spacing w:line="360" w:lineRule="auto"/>
        <w:ind w:left="720"/>
        <w:jc w:val="both"/>
        <w:rPr>
          <w:rFonts w:ascii="Trebuchet MS" w:hAnsi="Trebuchet MS"/>
          <w:sz w:val="24"/>
          <w:szCs w:val="24"/>
        </w:rPr>
      </w:pPr>
    </w:p>
    <w:p w:rsidR="00286E68" w:rsidRPr="004975B8" w:rsidRDefault="000678C7" w:rsidP="000678C7">
      <w:pPr>
        <w:pStyle w:val="adina"/>
      </w:pPr>
      <w:r w:rsidRPr="00C62CE6">
        <w:rPr>
          <w:rFonts w:cs="TrebuchetMS-Bold"/>
          <w:bCs/>
          <w:lang w:val="en-GB" w:eastAsia="en-GB"/>
        </w:rPr>
        <w:drawing>
          <wp:anchor distT="0" distB="0" distL="114300" distR="114300" simplePos="0" relativeHeight="251886592" behindDoc="0" locked="0" layoutInCell="1" allowOverlap="1" wp14:anchorId="58D9F75D" wp14:editId="413B4C69">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92736" behindDoc="0" locked="0" layoutInCell="1" allowOverlap="1" wp14:anchorId="5FDF2459" wp14:editId="73D7FE44">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5F8" w:rsidRDefault="00673535" w:rsidP="000678C7">
      <w:pPr>
        <w:spacing w:line="360" w:lineRule="auto"/>
        <w:jc w:val="both"/>
        <w:rPr>
          <w:rFonts w:ascii="Trebuchet MS" w:hAnsi="Trebuchet MS"/>
          <w:sz w:val="24"/>
          <w:szCs w:val="24"/>
          <w:lang w:val="ro-RO"/>
        </w:rPr>
      </w:pPr>
      <w:r w:rsidRPr="00271DF4">
        <w:rPr>
          <w:rStyle w:val="adinaChar"/>
        </w:rPr>
        <w:lastRenderedPageBreak/>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88640" behindDoc="0" locked="0" layoutInCell="1" allowOverlap="1" wp14:anchorId="57FD3149" wp14:editId="1E813CAC">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90688" behindDoc="0" locked="0" layoutInCell="1" allowOverlap="1" wp14:anchorId="2FAC1FFE" wp14:editId="0FD9B9E4">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w:t>
      </w:r>
      <w:proofErr w:type="gramStart"/>
      <w:r w:rsidR="007F3A51" w:rsidRPr="00041C69">
        <w:rPr>
          <w:rFonts w:ascii="Trebuchet MS" w:hAnsi="Trebuchet MS"/>
          <w:sz w:val="24"/>
          <w:szCs w:val="24"/>
        </w:rPr>
        <w:t>să</w:t>
      </w:r>
      <w:proofErr w:type="gramEnd"/>
      <w:r w:rsidR="007F3A51" w:rsidRPr="00041C69">
        <w:rPr>
          <w:rFonts w:ascii="Trebuchet MS" w:hAnsi="Trebuchet MS"/>
          <w:sz w:val="24"/>
          <w:szCs w:val="24"/>
        </w:rPr>
        <w:t xml:space="preserve"> se facă după cum urmează:</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programe și strategii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rsidR="00657955" w:rsidRPr="007F3A51" w:rsidRDefault="00657955" w:rsidP="00657955">
      <w:pPr>
        <w:spacing w:after="0" w:line="360" w:lineRule="auto"/>
        <w:ind w:left="1080"/>
        <w:jc w:val="both"/>
        <w:rPr>
          <w:rFonts w:ascii="Trebuchet MS" w:hAnsi="Trebuchet MS"/>
          <w:sz w:val="24"/>
          <w:szCs w:val="24"/>
          <w:lang w:val="ro-RO"/>
        </w:rPr>
      </w:pPr>
    </w:p>
    <w:p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74304" behindDoc="0" locked="0" layoutInCell="1" allowOverlap="1" wp14:anchorId="1D2B762B" wp14:editId="4A094C8E">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rsidR="000678C7" w:rsidRPr="006505F8" w:rsidRDefault="000678C7" w:rsidP="001E19D5">
      <w:pPr>
        <w:pStyle w:val="ListParagraph"/>
        <w:spacing w:line="360" w:lineRule="auto"/>
        <w:ind w:left="0"/>
        <w:jc w:val="both"/>
        <w:rPr>
          <w:rFonts w:ascii="Trebuchet MS" w:hAnsi="Trebuchet MS"/>
          <w:sz w:val="24"/>
          <w:szCs w:val="24"/>
        </w:rPr>
      </w:pP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94784" behindDoc="0" locked="0" layoutInCell="1" allowOverlap="1" wp14:anchorId="0B4F7EE8" wp14:editId="34CE96DF">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96832" behindDoc="0" locked="0" layoutInCell="1" allowOverlap="1" wp14:anchorId="04DD5C8C" wp14:editId="073C34C8">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Solicitare informații. Legislație (Numele și prenumele persoanei responsabile pentru Legea 544/2001; Formular pentru solicitare în baza Legii 544/2001; Modalitatea de contestare a deciziei și formularele </w:t>
      </w:r>
      <w:r w:rsidRPr="0072601F">
        <w:rPr>
          <w:rFonts w:ascii="Trebuchet MS" w:eastAsiaTheme="minorHAnsi" w:hAnsi="Trebuchet MS" w:cs="TrebuchetMS-Bold"/>
          <w:bCs/>
          <w:sz w:val="24"/>
          <w:szCs w:val="28"/>
        </w:rPr>
        <w:lastRenderedPageBreak/>
        <w:t>aferente pentru reclamație administrative;  Lista cu documentele de interes public și lista cu documentele produse/gestionate de instituție; Rapoartele de aplicare a Legii nr.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Buletinul informativ (Legea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9" w:name="_Hlk531037116"/>
      <w:r w:rsidRPr="001B2421">
        <w:rPr>
          <w:rFonts w:ascii="Trebuchet MS" w:eastAsiaTheme="minorHAnsi" w:hAnsi="Trebuchet MS" w:cs="TrebuchetMS-Bold"/>
          <w:b/>
          <w:bCs/>
          <w:noProof/>
          <w:sz w:val="24"/>
          <w:szCs w:val="24"/>
          <w:lang w:val="en-GB" w:eastAsia="en-GB"/>
        </w:rPr>
        <w:drawing>
          <wp:anchor distT="0" distB="0" distL="114300" distR="114300" simplePos="0" relativeHeight="251876352" behindDoc="0" locked="0" layoutInCell="1" allowOverlap="1" wp14:anchorId="665CDDB0" wp14:editId="2585D6E5">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2"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w:t>
      </w:r>
      <w:r w:rsidRPr="00606AEE">
        <w:rPr>
          <w:rFonts w:ascii="Trebuchet MS" w:eastAsiaTheme="minorHAnsi" w:hAnsi="Trebuchet MS" w:cs="TrebuchetMS-Bold"/>
          <w:bCs/>
          <w:sz w:val="24"/>
          <w:szCs w:val="28"/>
        </w:rPr>
        <w:lastRenderedPageBreak/>
        <w:t xml:space="preserve">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este necesar ca acestea să fie actualizate periodic (lunar în cazul organigramei) pentru o mai bună cunoaștere a modificărilor intervenite în arhitectura instituțională, pentru cunoașterea </w:t>
      </w:r>
      <w:r w:rsidRPr="00606AEE">
        <w:rPr>
          <w:rFonts w:ascii="Trebuchet MS" w:eastAsiaTheme="minorHAnsi" w:hAnsi="Trebuchet MS" w:cs="TrebuchetMS-Bold"/>
          <w:bCs/>
          <w:sz w:val="24"/>
          <w:szCs w:val="28"/>
        </w:rPr>
        <w:lastRenderedPageBreak/>
        <w:t>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publicate incomplet fără menționarea numelor persoanelor cu funcții de conducere (atât demnitari cât și funcționari publici) sau fără numărul de posturi ocupate din totalul posturilor de disponibile în instituție, cât și fără numărul total de posturi ocupate din posturi disponibile pentru fiecare direcție în parte.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3"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4"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98880" behindDoc="0" locked="0" layoutInCell="1" allowOverlap="1" wp14:anchorId="666E4E8B" wp14:editId="2A6D97B4">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w:t>
      </w:r>
      <w:proofErr w:type="gramStart"/>
      <w:r>
        <w:rPr>
          <w:rFonts w:ascii="Trebuchet MS" w:eastAsiaTheme="minorHAnsi" w:hAnsi="Trebuchet MS" w:cs="TrebuchetMS-Bold"/>
          <w:bCs/>
          <w:sz w:val="24"/>
          <w:szCs w:val="28"/>
        </w:rPr>
        <w:t>este</w:t>
      </w:r>
      <w:proofErr w:type="gramEnd"/>
      <w:r>
        <w:rPr>
          <w:rFonts w:ascii="Trebuchet MS" w:eastAsiaTheme="minorHAnsi" w:hAnsi="Trebuchet MS" w:cs="TrebuchetMS-Bold"/>
          <w:bCs/>
          <w:sz w:val="24"/>
          <w:szCs w:val="28"/>
        </w:rPr>
        <w:t xml:space="preserve"> de esența asigurării acestei activități și a realizării scopului procedurii. </w:t>
      </w:r>
      <w:r w:rsidR="008A7BA0" w:rsidRPr="0049039F">
        <w:rPr>
          <w:rFonts w:ascii="Trebuchet MS" w:eastAsiaTheme="minorHAnsi" w:hAnsi="Trebuchet MS" w:cs="TrebuchetMS-Bold"/>
          <w:bCs/>
          <w:sz w:val="24"/>
          <w:szCs w:val="28"/>
        </w:rPr>
        <w:t xml:space="preserve">În condițiile în care sunt sesizate nereguli de natură </w:t>
      </w:r>
      <w:proofErr w:type="gramStart"/>
      <w:r w:rsidR="008A7BA0" w:rsidRPr="0049039F">
        <w:rPr>
          <w:rFonts w:ascii="Trebuchet MS" w:eastAsiaTheme="minorHAnsi" w:hAnsi="Trebuchet MS" w:cs="TrebuchetMS-Bold"/>
          <w:bCs/>
          <w:sz w:val="24"/>
          <w:szCs w:val="28"/>
        </w:rPr>
        <w:t>a</w:t>
      </w:r>
      <w:proofErr w:type="gramEnd"/>
      <w:r w:rsidR="008A7BA0" w:rsidRPr="0049039F">
        <w:rPr>
          <w:rFonts w:ascii="Trebuchet MS" w:eastAsiaTheme="minorHAnsi" w:hAnsi="Trebuchet MS" w:cs="TrebuchetMS-Bold"/>
          <w:bCs/>
          <w:sz w:val="24"/>
          <w:szCs w:val="28"/>
        </w:rPr>
        <w:t xml:space="preserve">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 xml:space="preserve">e </w:t>
      </w:r>
      <w:proofErr w:type="gramStart"/>
      <w:r w:rsidR="008A7BA0">
        <w:rPr>
          <w:rFonts w:ascii="Trebuchet MS" w:eastAsiaTheme="minorHAnsi" w:hAnsi="Trebuchet MS" w:cs="TrebuchetMS-Bold"/>
          <w:bCs/>
          <w:sz w:val="24"/>
          <w:szCs w:val="28"/>
        </w:rPr>
        <w:t>va</w:t>
      </w:r>
      <w:proofErr w:type="gramEnd"/>
      <w:r w:rsidR="008A7BA0">
        <w:rPr>
          <w:rFonts w:ascii="Trebuchet MS" w:eastAsiaTheme="minorHAnsi" w:hAnsi="Trebuchet MS" w:cs="TrebuchetMS-Bold"/>
          <w:bCs/>
          <w:sz w:val="24"/>
          <w:szCs w:val="28"/>
        </w:rPr>
        <w:t xml:space="preserve"> urmări actualizarea informațiilor pentru toate canalele fizice sau electronice, precum și distribuirea informațiilor noi, rezultate din activitatea instituției sau autorității publice.</w:t>
      </w:r>
    </w:p>
    <w:p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E0025" w:rsidRPr="00DC07AE" w:rsidRDefault="009837D1" w:rsidP="00DC07AE">
      <w:pPr>
        <w:pStyle w:val="Heading2"/>
        <w:rPr>
          <w:rFonts w:ascii="Trebuchet MS" w:eastAsiaTheme="minorHAnsi" w:hAnsi="Trebuchet MS"/>
          <w:b/>
          <w:color w:val="auto"/>
          <w:sz w:val="28"/>
          <w:lang w:val="ro-RO"/>
        </w:rPr>
      </w:pPr>
      <w:bookmarkStart w:id="10" w:name="_Toc531162387"/>
      <w:bookmarkEnd w:id="9"/>
      <w:r w:rsidRPr="00DC07AE">
        <w:rPr>
          <w:rFonts w:ascii="Trebuchet MS" w:eastAsiaTheme="minorHAnsi" w:hAnsi="Trebuchet MS"/>
          <w:b/>
          <w:color w:val="auto"/>
          <w:sz w:val="28"/>
          <w:lang w:val="ro-RO"/>
        </w:rPr>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10"/>
    </w:p>
    <w:p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900928" behindDoc="0" locked="0" layoutInCell="1" allowOverlap="1" wp14:anchorId="1FD901F0" wp14:editId="2A566C1B">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rsidR="00063682" w:rsidRDefault="00063682" w:rsidP="005531E6">
      <w:pPr>
        <w:spacing w:after="0" w:line="360" w:lineRule="auto"/>
        <w:jc w:val="both"/>
        <w:rPr>
          <w:rFonts w:ascii="Trebuchet MS" w:eastAsiaTheme="minorHAnsi" w:hAnsi="Trebuchet MS" w:cs="TrebuchetMS-Bold"/>
          <w:bCs/>
          <w:sz w:val="24"/>
          <w:szCs w:val="24"/>
          <w:lang w:val="ro-RO"/>
        </w:rPr>
      </w:pPr>
      <w:r w:rsidRPr="00063682">
        <w:rPr>
          <w:rFonts w:ascii="Trebuchet MS" w:eastAsiaTheme="minorHAnsi" w:hAnsi="Trebuchet MS" w:cs="TrebuchetMS-Bold"/>
          <w:bCs/>
          <w:noProof/>
          <w:sz w:val="24"/>
          <w:szCs w:val="24"/>
          <w:lang w:val="en-GB" w:eastAsia="en-GB"/>
        </w:rPr>
        <w:lastRenderedPageBreak/>
        <mc:AlternateContent>
          <mc:Choice Requires="wps">
            <w:drawing>
              <wp:anchor distT="91440" distB="91440" distL="114300" distR="114300" simplePos="0" relativeHeight="251913216" behindDoc="0" locked="0" layoutInCell="1" allowOverlap="1" wp14:anchorId="5BB48D8E" wp14:editId="1667E775">
                <wp:simplePos x="0" y="0"/>
                <wp:positionH relativeFrom="page">
                  <wp:posOffset>844550</wp:posOffset>
                </wp:positionH>
                <wp:positionV relativeFrom="paragraph">
                  <wp:posOffset>280035</wp:posOffset>
                </wp:positionV>
                <wp:extent cx="5943600" cy="1054100"/>
                <wp:effectExtent l="0" t="0" r="0" b="0"/>
                <wp:wrapTopAndBottom/>
                <wp:docPr id="24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4100"/>
                        </a:xfrm>
                        <a:prstGeom prst="rect">
                          <a:avLst/>
                        </a:prstGeom>
                        <a:noFill/>
                        <a:ln w="9525">
                          <a:noFill/>
                          <a:miter lim="800000"/>
                          <a:headEnd/>
                          <a:tailEnd/>
                        </a:ln>
                      </wps:spPr>
                      <wps:txbx>
                        <w:txbxContent>
                          <w:p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B48D8E" id="_x0000_s1029" type="#_x0000_t202" style="position:absolute;left:0;text-align:left;margin-left:66.5pt;margin-top:22.05pt;width:468pt;height:83pt;z-index:251913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mc:Fallback>
        </mc:AlternateContent>
      </w:r>
    </w:p>
    <w:p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w:t>
      </w:r>
      <w:r w:rsidRPr="001B2421">
        <w:rPr>
          <w:rFonts w:ascii="Trebuchet MS" w:hAnsi="Trebuchet MS"/>
          <w:sz w:val="24"/>
          <w:szCs w:val="24"/>
        </w:rPr>
        <w:lastRenderedPageBreak/>
        <w:t xml:space="preserve">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asociaţiile de afaceri şi alte asociaţii legal constituite, pe domenii specifice de activitate, conf. art.</w:t>
      </w:r>
      <w:r w:rsidR="00EB4F53" w:rsidRPr="001B2421">
        <w:rPr>
          <w:rFonts w:ascii="Trebuchet MS" w:hAnsi="Trebuchet MS"/>
          <w:sz w:val="24"/>
        </w:rPr>
        <w:t xml:space="preserve"> 7 al. 3 din legea nr. 52/2003.</w:t>
      </w:r>
    </w:p>
    <w:p w:rsidR="00937CBD" w:rsidRPr="001B2421" w:rsidRDefault="003E36C2" w:rsidP="00A20BC8">
      <w:pPr>
        <w:pStyle w:val="adina"/>
        <w:rPr>
          <w:lang w:val="ro-RO"/>
        </w:rPr>
      </w:pPr>
      <w:r w:rsidRPr="00C62CE6">
        <w:rPr>
          <w:rFonts w:cs="TrebuchetMS-Bold"/>
          <w:bCs/>
          <w:lang w:val="en-GB" w:eastAsia="en-GB"/>
        </w:rPr>
        <w:drawing>
          <wp:anchor distT="0" distB="0" distL="114300" distR="114300" simplePos="0" relativeHeight="251902976" behindDoc="0" locked="0" layoutInCell="1" allowOverlap="1" wp14:anchorId="0DB70016" wp14:editId="3DCE918B">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rsidR="00F80C86" w:rsidRPr="001B2421" w:rsidRDefault="00F80C86" w:rsidP="00F80C86">
      <w:pPr>
        <w:pStyle w:val="ListParagraph"/>
        <w:spacing w:line="240" w:lineRule="auto"/>
        <w:ind w:left="1440"/>
        <w:jc w:val="both"/>
        <w:rPr>
          <w:rFonts w:ascii="Trebuchet MS" w:hAnsi="Trebuchet MS"/>
          <w:sz w:val="24"/>
        </w:rPr>
      </w:pPr>
    </w:p>
    <w:p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lastRenderedPageBreak/>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78400" behindDoc="0" locked="0" layoutInCell="1" allowOverlap="1" wp14:anchorId="21CE1377" wp14:editId="49DA0769">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lang w:val="en-GB" w:eastAsia="en-GB"/>
        </w:rPr>
        <w:drawing>
          <wp:anchor distT="0" distB="0" distL="114300" distR="114300" simplePos="0" relativeHeight="251845632" behindDoc="0" locked="0" layoutInCell="1" allowOverlap="1" wp14:anchorId="4FC31336" wp14:editId="4065C437">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w:t>
      </w:r>
      <w:proofErr w:type="gramEnd"/>
      <w:r w:rsidR="00F64B97" w:rsidRPr="00494173">
        <w:rPr>
          <w:rStyle w:val="adinaChar"/>
          <w:rFonts w:eastAsiaTheme="minorHAnsi"/>
          <w:lang w:val="en-US"/>
        </w:rPr>
        <w:t xml:space="preserve">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80448" behindDoc="0" locked="0" layoutInCell="1" allowOverlap="1" wp14:anchorId="042D50B6" wp14:editId="5A66F1DF">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48" w:rsidRPr="001B2421">
        <w:rPr>
          <w:rFonts w:ascii="Trebuchet MS" w:eastAsiaTheme="minorHAnsi" w:hAnsi="Trebuchet MS" w:cs="TrebuchetMS-Bold"/>
          <w:bCs/>
          <w:sz w:val="24"/>
          <w:szCs w:val="24"/>
          <w:lang w:val="ro-RO"/>
        </w:rPr>
        <w:t xml:space="preserve">Prin ședință publică, legea nr. 52/2003 se referă la ședința de consiliu local, așa cum este ea definită în legea nr. 215/2001 a administrației publice locale. Determinarea caracterului public al unei ședințe este în sarcina autorității </w:t>
      </w:r>
      <w:r w:rsidR="002A3A48" w:rsidRPr="001B2421">
        <w:rPr>
          <w:rFonts w:ascii="Trebuchet MS" w:eastAsiaTheme="minorHAnsi" w:hAnsi="Trebuchet MS" w:cs="TrebuchetMS-Bold"/>
          <w:bCs/>
          <w:sz w:val="24"/>
          <w:szCs w:val="24"/>
          <w:lang w:val="ro-RO"/>
        </w:rPr>
        <w:lastRenderedPageBreak/>
        <w:t>inițiatoare, căreia îi incumbă, în consecință, responsabilitatea aplicării procedurii legale de participare.</w:t>
      </w:r>
    </w:p>
    <w:p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b) valorile, termenele de realizare şi datele tehnico-economice ale activităţilor comerciale sau financiare, dacă publicarea acestora aduce atingere principiului concurenţei loiale, potrivit legii;</w:t>
      </w:r>
    </w:p>
    <w:p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impune adoptarea de soluţii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public, proiectele de acte normative se supun adoptării în procedura de urgenţă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lang w:val="en-GB" w:eastAsia="en-GB"/>
        </w:rPr>
        <w:drawing>
          <wp:anchor distT="0" distB="0" distL="114300" distR="114300" simplePos="0" relativeHeight="251882496" behindDoc="0" locked="0" layoutInCell="1" allowOverlap="1" wp14:anchorId="6E3D3784" wp14:editId="62428A9A">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43584" behindDoc="0" locked="0" layoutInCell="1" allowOverlap="1" wp14:anchorId="4452641F" wp14:editId="6B9318BE">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lastRenderedPageBreak/>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rsidR="00DB0368" w:rsidRDefault="007F1890" w:rsidP="00893BE8">
      <w:pPr>
        <w:spacing w:line="360" w:lineRule="auto"/>
        <w:jc w:val="both"/>
        <w:rPr>
          <w:rFonts w:ascii="Trebuchet MS" w:hAnsi="Trebuchet MS"/>
          <w:sz w:val="24"/>
          <w:lang w:val="ro-RO"/>
        </w:rPr>
      </w:pPr>
      <w:r w:rsidRPr="007F1890">
        <w:rPr>
          <w:rFonts w:ascii="Trebuchet MS" w:hAnsi="Trebuchet MS"/>
          <w:i/>
          <w:noProof/>
          <w:sz w:val="24"/>
          <w:lang w:val="en-GB" w:eastAsia="en-GB"/>
        </w:rPr>
        <mc:AlternateContent>
          <mc:Choice Requires="wps">
            <w:drawing>
              <wp:anchor distT="91440" distB="91440" distL="114300" distR="114300" simplePos="0" relativeHeight="251911168" behindDoc="0" locked="0" layoutInCell="1" allowOverlap="1" wp14:anchorId="79CCA20F" wp14:editId="6FD5D8C6">
                <wp:simplePos x="0" y="0"/>
                <wp:positionH relativeFrom="page">
                  <wp:posOffset>895350</wp:posOffset>
                </wp:positionH>
                <wp:positionV relativeFrom="paragraph">
                  <wp:posOffset>1067435</wp:posOffset>
                </wp:positionV>
                <wp:extent cx="5861050" cy="1257300"/>
                <wp:effectExtent l="0" t="0" r="0" b="0"/>
                <wp:wrapTopAndBottom/>
                <wp:docPr id="24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57300"/>
                        </a:xfrm>
                        <a:prstGeom prst="rect">
                          <a:avLst/>
                        </a:prstGeom>
                        <a:noFill/>
                        <a:ln w="9525">
                          <a:noFill/>
                          <a:miter lim="800000"/>
                          <a:headEnd/>
                          <a:tailEnd/>
                        </a:ln>
                      </wps:spPr>
                      <wps:txbx>
                        <w:txbxContent>
                          <w:p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CCA20F" id="_x0000_s1030" type="#_x0000_t202" style="position:absolute;left:0;text-align:left;margin-left:70.5pt;margin-top:84.05pt;width:461.5pt;height:99pt;z-index:251911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mc:Fallback>
        </mc:AlternateConten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rsidR="00090601" w:rsidRDefault="00090601" w:rsidP="00DB0368">
      <w:pPr>
        <w:pStyle w:val="ListParagraph"/>
        <w:spacing w:line="360" w:lineRule="auto"/>
        <w:jc w:val="both"/>
        <w:rPr>
          <w:rFonts w:ascii="Trebuchet MS" w:hAnsi="Trebuchet MS"/>
          <w:i/>
          <w:sz w:val="24"/>
        </w:rPr>
      </w:pPr>
    </w:p>
    <w:p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rsidR="007F1890" w:rsidRPr="001B2421" w:rsidRDefault="007F1890" w:rsidP="00DB0368">
      <w:pPr>
        <w:pStyle w:val="ListParagraph"/>
        <w:spacing w:line="360" w:lineRule="auto"/>
        <w:jc w:val="both"/>
        <w:rPr>
          <w:rFonts w:ascii="Trebuchet MS" w:hAnsi="Trebuchet MS"/>
          <w:sz w:val="24"/>
        </w:rPr>
      </w:pPr>
    </w:p>
    <w:p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lang w:val="en-GB" w:eastAsia="en-GB"/>
        </w:rPr>
        <w:drawing>
          <wp:anchor distT="0" distB="0" distL="114300" distR="114300" simplePos="0" relativeHeight="251841536" behindDoc="0" locked="0" layoutInCell="1" allowOverlap="1" wp14:anchorId="3E9E4872" wp14:editId="23078DAD">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rsidR="00435202" w:rsidRPr="001B2421" w:rsidRDefault="00435202" w:rsidP="00C16086">
      <w:pPr>
        <w:spacing w:line="240" w:lineRule="auto"/>
        <w:jc w:val="both"/>
        <w:rPr>
          <w:rFonts w:ascii="Trebuchet MS" w:hAnsi="Trebuchet MS"/>
          <w:sz w:val="24"/>
          <w:lang w:val="ro-RO"/>
        </w:rPr>
      </w:pPr>
    </w:p>
    <w:p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rsidR="00435202" w:rsidRPr="001B2421" w:rsidRDefault="00435202" w:rsidP="00435202">
      <w:pPr>
        <w:spacing w:line="360" w:lineRule="auto"/>
        <w:ind w:left="426"/>
        <w:contextualSpacing/>
        <w:rPr>
          <w:rFonts w:ascii="Trebuchet MS" w:hAnsi="Trebuchet MS"/>
          <w:sz w:val="24"/>
          <w:lang w:val="ro-RO"/>
        </w:rPr>
      </w:pP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 xml:space="preserve">metodologia de acces la informaţii și/sau documente: stabilirea listei informaţiilor și/sau documentelor aferente procedurii de consultare publică </w:t>
      </w:r>
      <w:r w:rsidRPr="001B2421">
        <w:rPr>
          <w:rFonts w:ascii="Trebuchet MS" w:hAnsi="Trebuchet MS"/>
          <w:sz w:val="24"/>
        </w:rPr>
        <w:lastRenderedPageBreak/>
        <w:t>necesar a fi puse la dispoziția celor interesați, a locului şi modului în care pot fi accesate de publicul interesat;</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disponibile; modalitatea de alegere a persoanei care prezidează şedinţa publică; modalitatea de stabilire a persoanei care va întocmi minuta; reguli de desfășurare; durata intervențiilor; dacă ședința va fi sau nu înregistrată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lastRenderedPageBreak/>
        <w:t>Desfăşurarea procedurii de consultare publică în vederea elaborării unui proiect de act normativ</w:t>
      </w:r>
      <w:r w:rsidR="00A42915" w:rsidRPr="001B2421">
        <w:rPr>
          <w:rFonts w:ascii="Trebuchet MS" w:hAnsi="Trebuchet MS"/>
          <w:b/>
          <w:sz w:val="24"/>
        </w:rPr>
        <w:t>, respectiv participării la luarea deciziilor</w:t>
      </w:r>
    </w:p>
    <w:p w:rsidR="004E26BC" w:rsidRDefault="004E26BC" w:rsidP="004E26BC">
      <w:pPr>
        <w:spacing w:after="0" w:line="360" w:lineRule="auto"/>
        <w:jc w:val="both"/>
        <w:rPr>
          <w:rFonts w:ascii="Trebuchet MS" w:hAnsi="Trebuchet MS"/>
          <w:b/>
          <w:sz w:val="24"/>
        </w:rPr>
      </w:pPr>
    </w:p>
    <w:p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w:t>
      </w:r>
      <w:r w:rsidR="008D6DB3" w:rsidRPr="001B2421">
        <w:rPr>
          <w:rFonts w:ascii="Trebuchet MS" w:hAnsi="Trebuchet MS"/>
          <w:sz w:val="24"/>
        </w:rPr>
        <w:t xml:space="preserve"> </w:t>
      </w:r>
      <w:r w:rsidRPr="001B2421">
        <w:rPr>
          <w:rFonts w:ascii="Trebuchet MS" w:hAnsi="Trebuchet MS"/>
          <w:sz w:val="24"/>
        </w:rPr>
        <w:t xml:space="preserve">la sediul acesteia şi prin canalele stabilite în etapa de planificare, cu respectarea termenelor legale. </w:t>
      </w: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w:t>
      </w:r>
      <w:r w:rsidRPr="001B2421">
        <w:rPr>
          <w:rFonts w:ascii="Trebuchet MS" w:hAnsi="Trebuchet MS"/>
          <w:sz w:val="24"/>
          <w:lang w:val="ro-RO"/>
        </w:rPr>
        <w:lastRenderedPageBreak/>
        <w:t>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rsidR="004E26BC" w:rsidRPr="001B2421" w:rsidRDefault="004E26BC" w:rsidP="004E26BC">
      <w:pPr>
        <w:spacing w:line="360" w:lineRule="auto"/>
        <w:contextualSpacing/>
        <w:jc w:val="both"/>
        <w:rPr>
          <w:rFonts w:ascii="Trebuchet MS" w:hAnsi="Trebuchet MS"/>
          <w:sz w:val="24"/>
          <w:lang w:val="ro-RO"/>
        </w:rPr>
      </w:pPr>
    </w:p>
    <w:p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39488" behindDoc="0" locked="0" layoutInCell="1" allowOverlap="1" wp14:anchorId="716F8FAF" wp14:editId="031ED7EC">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w:t>
      </w:r>
      <w:r w:rsidRPr="001B2421">
        <w:rPr>
          <w:rFonts w:ascii="Trebuchet MS" w:hAnsi="Trebuchet MS"/>
          <w:sz w:val="24"/>
        </w:rPr>
        <w:lastRenderedPageBreak/>
        <w:t>toate recomandările primite (în scris și în timpul dezbaterilor publice), redactând, după caz, justificarea în scris a r</w:t>
      </w:r>
      <w:r w:rsidR="00F27B68" w:rsidRPr="001B2421">
        <w:rPr>
          <w:rFonts w:ascii="Trebuchet MS" w:hAnsi="Trebuchet MS"/>
          <w:sz w:val="24"/>
        </w:rPr>
        <w:t>enunţării la unele recomandări.</w:t>
      </w:r>
    </w:p>
    <w:p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37440" behindDoc="0" locked="0" layoutInCell="1" allowOverlap="1" wp14:anchorId="7B32C607" wp14:editId="382975F9">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35392" behindDoc="0" locked="0" layoutInCell="1" allowOverlap="1" wp14:anchorId="6A843E7D" wp14:editId="1F719719">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lang w:val="en-GB" w:eastAsia="en-GB"/>
        </w:rPr>
        <w:drawing>
          <wp:anchor distT="0" distB="0" distL="114300" distR="114300" simplePos="0" relativeHeight="251833344" behindDoc="0" locked="0" layoutInCell="1" allowOverlap="1" wp14:anchorId="3E00C208" wp14:editId="7475C21F">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lastRenderedPageBreak/>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modelele de 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rsidR="00CA384C" w:rsidRDefault="00CA384C" w:rsidP="00CA384C">
      <w:pPr>
        <w:pStyle w:val="ListParagraph"/>
        <w:spacing w:after="0" w:line="360" w:lineRule="auto"/>
        <w:jc w:val="both"/>
        <w:rPr>
          <w:rFonts w:ascii="Trebuchet MS" w:hAnsi="Trebuchet MS"/>
          <w:sz w:val="24"/>
        </w:rPr>
      </w:pPr>
    </w:p>
    <w:p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rsidR="00CA384C" w:rsidRDefault="00CA384C" w:rsidP="00CA384C">
      <w:pPr>
        <w:pStyle w:val="ListParagraph"/>
        <w:spacing w:line="360" w:lineRule="auto"/>
        <w:jc w:val="both"/>
        <w:rPr>
          <w:rFonts w:ascii="Trebuchet MS" w:hAnsi="Trebuchet MS"/>
          <w:b/>
          <w:sz w:val="24"/>
        </w:rPr>
      </w:pP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rsidR="00584221" w:rsidRPr="001B2421" w:rsidRDefault="00584221" w:rsidP="00584221">
      <w:pPr>
        <w:pStyle w:val="ListParagraph"/>
        <w:spacing w:line="360" w:lineRule="auto"/>
        <w:jc w:val="both"/>
        <w:rPr>
          <w:rFonts w:ascii="Trebuchet MS" w:hAnsi="Trebuchet MS"/>
          <w:sz w:val="24"/>
        </w:rPr>
      </w:pPr>
    </w:p>
    <w:p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 xml:space="preserve">privind comunicarea din oficiu a informațiilor de </w:t>
      </w:r>
      <w:r w:rsidR="00A91A60" w:rsidRPr="001B2421">
        <w:rPr>
          <w:rFonts w:ascii="Trebuchet MS" w:hAnsi="Trebuchet MS"/>
          <w:sz w:val="24"/>
        </w:rPr>
        <w:lastRenderedPageBreak/>
        <w:t>interes public în format standardizat și deschis și asigurarea transparenței decizionale.</w:t>
      </w:r>
      <w:r w:rsidRPr="001B2421">
        <w:rPr>
          <w:rFonts w:ascii="Trebuchet MS" w:hAnsi="Trebuchet MS"/>
          <w:sz w:val="24"/>
        </w:rPr>
        <w:t xml:space="preserve"> </w:t>
      </w:r>
    </w:p>
    <w:p w:rsidR="00B67864" w:rsidRPr="00B67864" w:rsidRDefault="00B67864" w:rsidP="00B67864">
      <w:pPr>
        <w:spacing w:line="360" w:lineRule="auto"/>
        <w:jc w:val="both"/>
        <w:rPr>
          <w:rFonts w:ascii="Trebuchet MS" w:hAnsi="Trebuchet MS"/>
          <w:sz w:val="24"/>
        </w:rPr>
      </w:pPr>
    </w:p>
    <w:p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rsidR="00ED4A19" w:rsidRPr="00ED4A19" w:rsidRDefault="00ED4A19" w:rsidP="00ED4A19">
      <w:pPr>
        <w:spacing w:line="360" w:lineRule="auto"/>
        <w:ind w:left="360"/>
        <w:jc w:val="both"/>
        <w:rPr>
          <w:rFonts w:ascii="Trebuchet MS" w:hAnsi="Trebuchet MS"/>
          <w:sz w:val="24"/>
        </w:rPr>
      </w:pPr>
    </w:p>
    <w:p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rsidR="00166632" w:rsidRDefault="00166632" w:rsidP="00465851">
      <w:pPr>
        <w:spacing w:after="0" w:line="360" w:lineRule="auto"/>
        <w:jc w:val="both"/>
        <w:rPr>
          <w:rFonts w:ascii="Trebuchet MS" w:eastAsiaTheme="minorHAnsi" w:hAnsi="Trebuchet MS" w:cs="TrebuchetMS-Bold"/>
          <w:b/>
          <w:bCs/>
          <w:sz w:val="24"/>
          <w:szCs w:val="24"/>
          <w:lang w:val="ro-RO"/>
        </w:rPr>
      </w:pPr>
    </w:p>
    <w:p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rsidR="004E26BC" w:rsidRDefault="004E26BC" w:rsidP="00465851">
      <w:pPr>
        <w:spacing w:after="0" w:line="360" w:lineRule="auto"/>
        <w:jc w:val="both"/>
        <w:rPr>
          <w:rFonts w:ascii="Trebuchet MS" w:eastAsiaTheme="minorHAnsi" w:hAnsi="Trebuchet MS" w:cs="TrebuchetMS-Bold"/>
          <w:b/>
          <w:bCs/>
          <w:sz w:val="24"/>
          <w:szCs w:val="24"/>
          <w:lang w:val="ro-RO"/>
        </w:rPr>
      </w:pPr>
    </w:p>
    <w:p w:rsidR="00682126" w:rsidRPr="00DC07AE" w:rsidRDefault="00682126" w:rsidP="00B67864">
      <w:pPr>
        <w:pStyle w:val="Heading1"/>
        <w:jc w:val="center"/>
        <w:rPr>
          <w:rStyle w:val="Heading1Char"/>
          <w:rFonts w:ascii="Trebuchet MS" w:hAnsi="Trebuchet MS"/>
          <w:b/>
          <w:color w:val="auto"/>
          <w:sz w:val="28"/>
        </w:rPr>
      </w:pPr>
      <w:bookmarkStart w:id="11" w:name="_Toc531162388"/>
      <w:r w:rsidRPr="00DC07AE">
        <w:rPr>
          <w:rStyle w:val="Heading1Char"/>
          <w:rFonts w:ascii="Trebuchet MS" w:hAnsi="Trebuchet MS"/>
          <w:b/>
          <w:color w:val="auto"/>
          <w:sz w:val="28"/>
        </w:rPr>
        <w:t>BIBLIOGRAFIE</w:t>
      </w:r>
      <w:bookmarkEnd w:id="11"/>
    </w:p>
    <w:p w:rsidR="00756203" w:rsidRPr="001B2421" w:rsidRDefault="00756203" w:rsidP="005531E6">
      <w:pPr>
        <w:spacing w:after="0" w:line="360" w:lineRule="auto"/>
        <w:jc w:val="both"/>
        <w:rPr>
          <w:rFonts w:ascii="Trebuchet MS" w:hAnsi="Trebuchet MS"/>
          <w:i/>
          <w:sz w:val="24"/>
          <w:szCs w:val="24"/>
          <w:lang w:val="ro-RO"/>
        </w:rPr>
      </w:pP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Academia de Advocacy</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5"/>
          <w:footerReference w:type="default" r:id="rId16"/>
          <w:footerReference w:type="first" r:id="rId17"/>
          <w:type w:val="continuous"/>
          <w:pgSz w:w="11906" w:h="16838" w:code="9"/>
          <w:pgMar w:top="426" w:right="1274" w:bottom="1440" w:left="1440" w:header="284" w:footer="119" w:gutter="0"/>
          <w:pgNumType w:start="1"/>
          <w:cols w:space="720"/>
          <w:titlePg/>
          <w:docGrid w:linePitch="360"/>
        </w:sect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rsidR="0018608B" w:rsidRPr="00EE1DCA" w:rsidRDefault="0018608B" w:rsidP="0018608B">
      <w:pPr>
        <w:pStyle w:val="Footer"/>
        <w:jc w:val="center"/>
        <w:rPr>
          <w:rFonts w:ascii="Trebuchet MS" w:hAnsi="Trebuchet MS"/>
          <w:color w:val="2F5496" w:themeColor="accent1" w:themeShade="BF"/>
          <w:szCs w:val="24"/>
        </w:rPr>
      </w:pP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rsidR="00E63B7C" w:rsidRPr="000F219D" w:rsidRDefault="00E63B7C" w:rsidP="0018608B">
      <w:pPr>
        <w:pStyle w:val="Footer"/>
        <w:jc w:val="center"/>
        <w:rPr>
          <w:rFonts w:ascii="Trebuchet MS" w:hAnsi="Trebuchet MS"/>
          <w:b/>
          <w:color w:val="2F5496" w:themeColor="accent1" w:themeShade="BF"/>
          <w:sz w:val="28"/>
          <w:szCs w:val="28"/>
          <w:lang w:val="ro-RO"/>
        </w:rPr>
      </w:pPr>
    </w:p>
    <w:sectPr w:rsidR="00E63B7C" w:rsidRPr="000F219D" w:rsidSect="00380711">
      <w:headerReference w:type="default" r:id="rId18"/>
      <w:footerReference w:type="default" r:id="rId19"/>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95" w:rsidRDefault="00932695" w:rsidP="00A87B04">
      <w:pPr>
        <w:spacing w:after="0" w:line="240" w:lineRule="auto"/>
      </w:pPr>
      <w:r>
        <w:separator/>
      </w:r>
    </w:p>
  </w:endnote>
  <w:endnote w:type="continuationSeparator" w:id="0">
    <w:p w:rsidR="00932695" w:rsidRDefault="00932695" w:rsidP="00A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1842"/>
      <w:docPartObj>
        <w:docPartGallery w:val="Page Numbers (Bottom of Page)"/>
        <w:docPartUnique/>
      </w:docPartObj>
    </w:sdtPr>
    <w:sdtEndPr>
      <w:rPr>
        <w:b/>
        <w:noProof/>
        <w:color w:val="4472C4" w:themeColor="accent1"/>
      </w:rPr>
    </w:sdtEndPr>
    <w:sdtContent>
      <w:p w:rsidR="009E6FA3" w:rsidRPr="00183F9D" w:rsidRDefault="009E6FA3" w:rsidP="008D72DA">
        <w:pPr>
          <w:pStyle w:val="Footer"/>
          <w:jc w:val="center"/>
          <w:rPr>
            <w:rFonts w:ascii="Trebuchet MS" w:hAnsi="Trebuchet MS"/>
            <w:color w:val="003399"/>
            <w:sz w:val="20"/>
            <w:szCs w:val="24"/>
          </w:rPr>
        </w:pPr>
        <w:r w:rsidRPr="00183F9D">
          <w:rPr>
            <w:noProof/>
            <w:sz w:val="20"/>
            <w:lang w:val="en-GB" w:eastAsia="en-GB"/>
          </w:rPr>
          <w:drawing>
            <wp:anchor distT="0" distB="0" distL="114300" distR="114300" simplePos="0" relativeHeight="251659264" behindDoc="0" locked="0" layoutInCell="1" allowOverlap="1" wp14:anchorId="713EEA72" wp14:editId="6A30E100">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9D">
          <w:rPr>
            <w:rFonts w:ascii="Trebuchet MS" w:hAnsi="Trebuchet MS"/>
            <w:color w:val="003399"/>
            <w:sz w:val="20"/>
            <w:szCs w:val="24"/>
          </w:rPr>
          <w:t>Proiect cofinanțat din Fondul Social European prin</w:t>
        </w:r>
      </w:p>
      <w:p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rsidR="009E6FA3" w:rsidRDefault="009E6FA3" w:rsidP="008D72DA">
        <w:pPr>
          <w:pStyle w:val="Footer"/>
          <w:jc w:val="center"/>
          <w:rPr>
            <w:rFonts w:ascii="Trebuchet MS" w:hAnsi="Trebuchet MS"/>
            <w:color w:val="003399"/>
            <w:szCs w:val="24"/>
          </w:rPr>
        </w:pPr>
      </w:p>
      <w:p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Pr="00166632">
          <w:rPr>
            <w:b/>
            <w:color w:val="4472C4" w:themeColor="accent1"/>
          </w:rPr>
          <w:fldChar w:fldCharType="begin"/>
        </w:r>
        <w:r w:rsidRPr="00166632">
          <w:rPr>
            <w:b/>
            <w:color w:val="4472C4" w:themeColor="accent1"/>
          </w:rPr>
          <w:instrText xml:space="preserve"> PAGE   \* MERGEFORMAT </w:instrText>
        </w:r>
        <w:r w:rsidRPr="00166632">
          <w:rPr>
            <w:b/>
            <w:color w:val="4472C4" w:themeColor="accent1"/>
          </w:rPr>
          <w:fldChar w:fldCharType="separate"/>
        </w:r>
        <w:r w:rsidR="003A0C37">
          <w:rPr>
            <w:b/>
            <w:noProof/>
            <w:color w:val="4472C4" w:themeColor="accent1"/>
          </w:rPr>
          <w:t>43</w:t>
        </w:r>
        <w:r w:rsidRPr="00166632">
          <w:rPr>
            <w:b/>
            <w:noProof/>
            <w:color w:val="4472C4" w:themeColor="accent1"/>
          </w:rPr>
          <w:fldChar w:fldCharType="end"/>
        </w:r>
      </w:p>
    </w:sdtContent>
  </w:sdt>
  <w:p w:rsidR="009E6FA3" w:rsidRDefault="009E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A3" w:rsidRPr="00FA5B90" w:rsidRDefault="009E6FA3" w:rsidP="00905260">
    <w:pPr>
      <w:pStyle w:val="Footer"/>
      <w:jc w:val="center"/>
      <w:rPr>
        <w:rFonts w:ascii="Trebuchet MS" w:hAnsi="Trebuchet MS"/>
        <w:b/>
        <w:color w:val="003399"/>
        <w:sz w:val="20"/>
        <w:szCs w:val="24"/>
      </w:rPr>
    </w:pPr>
    <w:r w:rsidRPr="00183F9D">
      <w:rPr>
        <w:noProof/>
        <w:sz w:val="20"/>
        <w:lang w:val="en-GB" w:eastAsia="en-GB"/>
      </w:rPr>
      <w:drawing>
        <wp:anchor distT="0" distB="0" distL="114300" distR="114300" simplePos="0" relativeHeight="251661312" behindDoc="0" locked="0" layoutInCell="1" allowOverlap="1" wp14:anchorId="29F365C3" wp14:editId="3C11C7BF">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B90">
      <w:rPr>
        <w:rFonts w:ascii="Trebuchet MS" w:hAnsi="Trebuchet MS"/>
        <w:b/>
        <w:color w:val="003399"/>
        <w:sz w:val="20"/>
        <w:szCs w:val="24"/>
      </w:rPr>
      <w:t xml:space="preserve">www.poca.ro </w:t>
    </w:r>
  </w:p>
  <w:p w:rsidR="009E6FA3" w:rsidRDefault="009E6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A3" w:rsidRDefault="009E6FA3" w:rsidP="00380711">
    <w:pPr>
      <w:spacing w:after="0" w:line="240" w:lineRule="auto"/>
      <w:jc w:val="center"/>
      <w:rPr>
        <w:rFonts w:ascii="Trebuchet MS" w:hAnsi="Trebuchet MS" w:cs="Calibri"/>
        <w:b/>
        <w:sz w:val="24"/>
        <w:szCs w:val="24"/>
      </w:rPr>
    </w:pPr>
  </w:p>
  <w:p w:rsidR="009E6FA3" w:rsidRDefault="009E6FA3" w:rsidP="00380711">
    <w:pPr>
      <w:pStyle w:val="Footer"/>
      <w:jc w:val="center"/>
      <w:rPr>
        <w:rFonts w:ascii="Trebuchet MS" w:hAnsi="Trebuchet MS"/>
        <w:color w:val="003399"/>
        <w:szCs w:val="24"/>
      </w:rPr>
    </w:pPr>
    <w:r>
      <w:rPr>
        <w:noProof/>
        <w:lang w:val="en-GB" w:eastAsia="en-GB"/>
      </w:rPr>
      <w:drawing>
        <wp:anchor distT="0" distB="0" distL="114300" distR="114300" simplePos="0" relativeHeight="251663360" behindDoc="0" locked="0" layoutInCell="1" allowOverlap="1" wp14:anchorId="19F9E7FB" wp14:editId="23453D89">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FA3" w:rsidRPr="005B594E" w:rsidRDefault="009E6FA3" w:rsidP="00380711">
    <w:pPr>
      <w:pStyle w:val="Footer"/>
      <w:jc w:val="center"/>
      <w:rPr>
        <w:rFonts w:ascii="Trebuchet MS" w:hAnsi="Trebuchet MS"/>
        <w:color w:val="003399"/>
        <w:sz w:val="24"/>
        <w:szCs w:val="24"/>
      </w:rPr>
    </w:pPr>
  </w:p>
  <w:p w:rsidR="009E6FA3" w:rsidRPr="005B594E" w:rsidRDefault="009E6FA3" w:rsidP="00380711">
    <w:pPr>
      <w:pStyle w:val="Footer"/>
      <w:jc w:val="center"/>
      <w:rPr>
        <w:rFonts w:ascii="Trebuchet MS" w:hAnsi="Trebuchet MS"/>
        <w:color w:val="003399"/>
        <w:sz w:val="24"/>
        <w:szCs w:val="24"/>
      </w:rPr>
    </w:pPr>
  </w:p>
  <w:p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rsidR="009E6FA3" w:rsidRDefault="009E6FA3" w:rsidP="00C97016">
    <w:pPr>
      <w:pStyle w:val="Footer"/>
      <w:tabs>
        <w:tab w:val="clear" w:pos="9360"/>
      </w:tabs>
      <w:ind w:left="-1440"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95" w:rsidRDefault="00932695" w:rsidP="00A87B04">
      <w:pPr>
        <w:spacing w:after="0" w:line="240" w:lineRule="auto"/>
      </w:pPr>
      <w:r>
        <w:separator/>
      </w:r>
    </w:p>
  </w:footnote>
  <w:footnote w:type="continuationSeparator" w:id="0">
    <w:p w:rsidR="00932695" w:rsidRDefault="00932695" w:rsidP="00A8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A3" w:rsidRDefault="009E6FA3">
    <w:pPr>
      <w:pStyle w:val="Header"/>
    </w:pPr>
    <w:r w:rsidRPr="00A87B04">
      <w:rPr>
        <w:noProof/>
        <w:lang w:val="en-GB" w:eastAsia="en-GB"/>
      </w:rPr>
      <w:drawing>
        <wp:inline distT="0" distB="0" distL="0" distR="0" wp14:anchorId="55ED0368" wp14:editId="678582D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9E6FA3" w:rsidRDefault="009E6FA3">
    <w:pPr>
      <w:pStyle w:val="Header"/>
    </w:pPr>
  </w:p>
  <w:p w:rsidR="009E6FA3" w:rsidRDefault="009E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A3" w:rsidRDefault="009E6FA3" w:rsidP="00380711">
    <w:pPr>
      <w:pStyle w:val="Header"/>
      <w:jc w:val="center"/>
    </w:pPr>
  </w:p>
  <w:p w:rsidR="009E6FA3" w:rsidRDefault="009E6FA3">
    <w:pPr>
      <w:pStyle w:val="Header"/>
    </w:pPr>
  </w:p>
  <w:p w:rsidR="009E6FA3" w:rsidRDefault="009E6FA3">
    <w:pPr>
      <w:pStyle w:val="Header"/>
    </w:pPr>
  </w:p>
  <w:p w:rsidR="009E6FA3" w:rsidRDefault="009E6FA3" w:rsidP="003807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7B5B"/>
      </v:shape>
    </w:pict>
  </w:numPicBullet>
  <w:numPicBullet w:numPicBulletId="1">
    <w:pict>
      <v:shape id="_x0000_i1029" type="#_x0000_t75" style="width:74.7pt;height:65.9pt;visibility:visible;mso-wrap-style:square" o:bullet="t">
        <v:imagedata r:id="rId2" o:title=""/>
      </v:shape>
    </w:pict>
  </w:numPicBullet>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0C37"/>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2695"/>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gov.r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isla&#539;ie.jus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4.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data.gov.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A7C1-A8AD-4A6C-898D-3B8FF51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11405</Words>
  <Characters>65015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Mazilu</dc:creator>
  <cp:lastModifiedBy>Sfetcu GHE. Cristina</cp:lastModifiedBy>
  <cp:revision>2</cp:revision>
  <cp:lastPrinted>2018-12-10T14:11:00Z</cp:lastPrinted>
  <dcterms:created xsi:type="dcterms:W3CDTF">2019-01-09T14:10:00Z</dcterms:created>
  <dcterms:modified xsi:type="dcterms:W3CDTF">2019-01-09T14:10:00Z</dcterms:modified>
</cp:coreProperties>
</file>